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5280"/>
        <w:spacing w:after="0"/>
        <w:rPr>
          <w:sz w:val="20"/>
          <w:szCs w:val="20"/>
          <w:color w:val="auto"/>
        </w:rPr>
      </w:pPr>
      <w:r>
        <w:rPr>
          <w:rFonts w:ascii="Times New Roman" w:cs="Times New Roman" w:eastAsia="Times New Roman" w:hAnsi="Times New Roman"/>
          <w:sz w:val="20"/>
          <w:szCs w:val="20"/>
          <w:color w:val="auto"/>
        </w:rPr>
        <w:t>_______</w:t>
      </w:r>
    </w:p>
    <w:p>
      <w:pPr>
        <w:spacing w:after="0" w:line="21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Pursuant to Section 13 or 15(d) of the</w:t>
      </w:r>
    </w:p>
    <w:p>
      <w:pPr>
        <w:jc w:val="center"/>
        <w:ind w:right="60"/>
        <w:spacing w:after="0"/>
        <w:rPr>
          <w:sz w:val="20"/>
          <w:szCs w:val="20"/>
          <w:color w:val="auto"/>
        </w:rPr>
      </w:pPr>
      <w:r>
        <w:rPr>
          <w:rFonts w:ascii="Times New Roman" w:cs="Times New Roman" w:eastAsia="Times New Roman" w:hAnsi="Times New Roman"/>
          <w:sz w:val="20"/>
          <w:szCs w:val="20"/>
          <w:color w:val="auto"/>
        </w:rPr>
        <w:t>Securities Exchange Act of 1934</w:t>
      </w:r>
    </w:p>
    <w:p>
      <w:pPr>
        <w:spacing w:after="0" w:line="22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Date of Report April 27, 2026</w:t>
      </w:r>
    </w:p>
    <w:p>
      <w:pPr>
        <w:spacing w:after="0" w:line="2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2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u w:val="single" w:color="auto"/>
          <w:color w:val="auto"/>
        </w:rPr>
        <w:t>KINGSTONE COMPANIES, INC.</w:t>
      </w:r>
    </w:p>
    <w:p>
      <w:pPr>
        <w:spacing w:after="0" w:line="2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4600" w:type="dxa"/>
            <w:vAlign w:val="bottom"/>
            <w:tcBorders>
              <w:bottom w:val="single" w:sz="8" w:color="auto"/>
            </w:tcBorders>
            <w:gridSpan w:val="2"/>
          </w:tcPr>
          <w:p>
            <w:pPr>
              <w:ind w:left="1940"/>
              <w:spacing w:after="0"/>
              <w:rPr>
                <w:sz w:val="20"/>
                <w:szCs w:val="20"/>
                <w:color w:val="auto"/>
              </w:rPr>
            </w:pPr>
            <w:r>
              <w:rPr>
                <w:rFonts w:ascii="Times New Roman" w:cs="Times New Roman" w:eastAsia="Times New Roman" w:hAnsi="Times New Roman"/>
                <w:sz w:val="20"/>
                <w:szCs w:val="20"/>
                <w:color w:val="auto"/>
              </w:rPr>
              <w:t>Delaware</w:t>
            </w:r>
          </w:p>
        </w:tc>
        <w:tc>
          <w:tcPr>
            <w:tcW w:w="2580" w:type="dxa"/>
            <w:vAlign w:val="bottom"/>
            <w:tcBorders>
              <w:bottom w:val="single" w:sz="8" w:color="auto"/>
            </w:tcBorders>
            <w:gridSpan w:val="2"/>
          </w:tcPr>
          <w:p>
            <w:pPr>
              <w:jc w:val="right"/>
              <w:ind w:right="780"/>
              <w:spacing w:after="0"/>
              <w:rPr>
                <w:sz w:val="20"/>
                <w:szCs w:val="20"/>
                <w:color w:val="auto"/>
              </w:rPr>
            </w:pPr>
            <w:r>
              <w:rPr>
                <w:rFonts w:ascii="Times New Roman" w:cs="Times New Roman" w:eastAsia="Times New Roman" w:hAnsi="Times New Roman"/>
                <w:sz w:val="20"/>
                <w:szCs w:val="20"/>
                <w:color w:val="auto"/>
              </w:rPr>
              <w:t>0-1665</w:t>
            </w:r>
          </w:p>
        </w:tc>
        <w:tc>
          <w:tcPr>
            <w:tcW w:w="4060" w:type="dxa"/>
            <w:vAlign w:val="bottom"/>
            <w:tcBorders>
              <w:bottom w:val="single" w:sz="8" w:color="auto"/>
            </w:tcBorders>
            <w:gridSpan w:val="2"/>
          </w:tcPr>
          <w:p>
            <w:pPr>
              <w:jc w:val="right"/>
              <w:ind w:right="1220"/>
              <w:spacing w:after="0"/>
              <w:rPr>
                <w:sz w:val="20"/>
                <w:szCs w:val="20"/>
                <w:color w:val="auto"/>
              </w:rPr>
            </w:pPr>
            <w:r>
              <w:rPr>
                <w:rFonts w:ascii="Times New Roman" w:cs="Times New Roman" w:eastAsia="Times New Roman" w:hAnsi="Times New Roman"/>
                <w:sz w:val="20"/>
                <w:szCs w:val="20"/>
                <w:color w:val="auto"/>
              </w:rPr>
              <w:t>36-2476480</w:t>
            </w:r>
          </w:p>
        </w:tc>
        <w:tc>
          <w:tcPr>
            <w:tcW w:w="0" w:type="dxa"/>
            <w:vAlign w:val="bottom"/>
          </w:tcPr>
          <w:p>
            <w:pPr>
              <w:spacing w:after="0"/>
              <w:rPr>
                <w:sz w:val="1"/>
                <w:szCs w:val="1"/>
                <w:color w:val="auto"/>
              </w:rPr>
            </w:pPr>
          </w:p>
        </w:tc>
      </w:tr>
      <w:tr>
        <w:trPr>
          <w:trHeight w:val="252"/>
        </w:trPr>
        <w:tc>
          <w:tcPr>
            <w:tcW w:w="460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(State or Other Jurisdiction of Incorporation)</w:t>
            </w:r>
          </w:p>
        </w:tc>
        <w:tc>
          <w:tcPr>
            <w:tcW w:w="2580" w:type="dxa"/>
            <w:vAlign w:val="bottom"/>
            <w:gridSpan w:val="2"/>
          </w:tcPr>
          <w:p>
            <w:pPr>
              <w:jc w:val="center"/>
              <w:ind w:left="361"/>
              <w:spacing w:after="0"/>
              <w:rPr>
                <w:sz w:val="20"/>
                <w:szCs w:val="20"/>
                <w:color w:val="auto"/>
              </w:rPr>
            </w:pPr>
            <w:r>
              <w:rPr>
                <w:rFonts w:ascii="Times New Roman" w:cs="Times New Roman" w:eastAsia="Times New Roman" w:hAnsi="Times New Roman"/>
                <w:sz w:val="20"/>
                <w:szCs w:val="20"/>
                <w:color w:val="auto"/>
                <w:w w:val="99"/>
              </w:rPr>
              <w:t>(Commission File No.)</w:t>
            </w:r>
          </w:p>
        </w:tc>
        <w:tc>
          <w:tcPr>
            <w:tcW w:w="406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8"/>
              </w:rPr>
              <w:t>(IRS Employer Identification Number)</w:t>
            </w:r>
          </w:p>
        </w:tc>
        <w:tc>
          <w:tcPr>
            <w:tcW w:w="0" w:type="dxa"/>
            <w:vAlign w:val="bottom"/>
          </w:tcPr>
          <w:p>
            <w:pPr>
              <w:spacing w:after="0"/>
              <w:rPr>
                <w:sz w:val="1"/>
                <w:szCs w:val="1"/>
                <w:color w:val="auto"/>
              </w:rPr>
            </w:pPr>
          </w:p>
        </w:tc>
      </w:tr>
      <w:tr>
        <w:trPr>
          <w:trHeight w:val="403"/>
        </w:trPr>
        <w:tc>
          <w:tcPr>
            <w:tcW w:w="2800" w:type="dxa"/>
            <w:vAlign w:val="bottom"/>
          </w:tcPr>
          <w:p>
            <w:pPr>
              <w:spacing w:after="0"/>
              <w:rPr>
                <w:sz w:val="24"/>
                <w:szCs w:val="24"/>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120 Wood Road, Kingston, NY</w:t>
            </w: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12401</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480" w:type="dxa"/>
            <w:vAlign w:val="bottom"/>
            <w:gridSpan w:val="2"/>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800" w:type="dxa"/>
            <w:vAlign w:val="bottom"/>
            <w:vMerge w:val="restart"/>
          </w:tcPr>
          <w:p>
            <w:pPr>
              <w:spacing w:after="0" w:line="20" w:lineRule="exact"/>
              <w:rPr>
                <w:sz w:val="1"/>
                <w:szCs w:val="1"/>
                <w:color w:val="auto"/>
              </w:rPr>
            </w:pPr>
          </w:p>
        </w:tc>
        <w:tc>
          <w:tcPr>
            <w:tcW w:w="43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1280" w:type="dxa"/>
            <w:vAlign w:val="bottom"/>
            <w:tcBorders>
              <w:bottom w:val="single" w:sz="8" w:color="auto"/>
            </w:tcBorders>
          </w:tcPr>
          <w:p>
            <w:pPr>
              <w:spacing w:after="0" w:line="20" w:lineRule="exact"/>
              <w:rPr>
                <w:sz w:val="1"/>
                <w:szCs w:val="1"/>
                <w:color w:val="auto"/>
              </w:rPr>
            </w:pPr>
          </w:p>
        </w:tc>
        <w:tc>
          <w:tcPr>
            <w:tcW w:w="27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2800" w:type="dxa"/>
            <w:vAlign w:val="bottom"/>
            <w:vMerge w:val="continue"/>
          </w:tcPr>
          <w:p>
            <w:pPr>
              <w:spacing w:after="0"/>
              <w:rPr>
                <w:sz w:val="21"/>
                <w:szCs w:val="21"/>
                <w:color w:val="auto"/>
              </w:rPr>
            </w:pPr>
          </w:p>
        </w:tc>
        <w:tc>
          <w:tcPr>
            <w:tcW w:w="4380" w:type="dxa"/>
            <w:vAlign w:val="bottom"/>
            <w:gridSpan w:val="3"/>
            <w:vMerge w:val="continue"/>
          </w:tcPr>
          <w:p>
            <w:pPr>
              <w:spacing w:after="0"/>
              <w:rPr>
                <w:sz w:val="21"/>
                <w:szCs w:val="21"/>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(Zip Code)</w:t>
            </w:r>
          </w:p>
        </w:tc>
        <w:tc>
          <w:tcPr>
            <w:tcW w:w="2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9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u w:val="single" w:color="auto"/>
          <w:color w:val="auto"/>
        </w:rPr>
        <w:t>(845) 802-7900</w:t>
      </w:r>
    </w:p>
    <w:p>
      <w:pPr>
        <w:spacing w:after="0" w:line="243" w:lineRule="exact"/>
        <w:rPr>
          <w:sz w:val="24"/>
          <w:szCs w:val="24"/>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ectPr>
          <w:pgSz w:w="11900" w:h="16838" w:orient="portrait"/>
          <w:cols w:equalWidth="0" w:num="1">
            <w:col w:w="11300"/>
          </w:cols>
          <w:pgMar w:left="320" w:top="221" w:right="279" w:bottom="1440" w:gutter="0" w:footer="0" w:header="0"/>
        </w:sectPr>
      </w:pPr>
    </w:p>
    <w:p>
      <w:pPr>
        <w:spacing w:after="0" w:line="18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____</w:t>
      </w:r>
    </w:p>
    <w:p>
      <w:pPr>
        <w:spacing w:after="0" w:line="2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____</w:t>
      </w:r>
    </w:p>
    <w:p>
      <w:pPr>
        <w:ind w:left="60"/>
        <w:spacing w:after="0"/>
        <w:rPr>
          <w:sz w:val="20"/>
          <w:szCs w:val="20"/>
          <w:color w:val="auto"/>
        </w:rPr>
      </w:pPr>
      <w:r>
        <w:rPr>
          <w:rFonts w:ascii="Times New Roman" w:cs="Times New Roman" w:eastAsia="Times New Roman" w:hAnsi="Times New Roman"/>
          <w:sz w:val="20"/>
          <w:szCs w:val="20"/>
          <w:color w:val="auto"/>
        </w:rPr>
        <w:t>____</w:t>
      </w:r>
    </w:p>
    <w:p>
      <w:pPr>
        <w:ind w:left="60"/>
        <w:spacing w:after="0"/>
        <w:rPr>
          <w:sz w:val="20"/>
          <w:szCs w:val="20"/>
          <w:color w:val="auto"/>
        </w:rPr>
      </w:pPr>
      <w:r>
        <w:rPr>
          <w:rFonts w:ascii="Times New Roman" w:cs="Times New Roman" w:eastAsia="Times New Roman" w:hAnsi="Times New Roman"/>
          <w:sz w:val="20"/>
          <w:szCs w:val="20"/>
          <w:color w:val="auto"/>
        </w:rPr>
        <w:t>____</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rPr>
          <w:sz w:val="20"/>
          <w:szCs w:val="20"/>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Pre-commencement communications pursuant to Rule 13e-4(c) under the Exchange Act (17 CFR 240.13e-4(c))</w:t>
      </w:r>
    </w:p>
    <w:p>
      <w:pPr>
        <w:spacing w:after="0" w:line="211" w:lineRule="exact"/>
        <w:rPr>
          <w:sz w:val="24"/>
          <w:szCs w:val="24"/>
          <w:color w:val="auto"/>
        </w:rPr>
      </w:pPr>
    </w:p>
    <w:p>
      <w:pPr>
        <w:sectPr>
          <w:pgSz w:w="11900" w:h="16838" w:orient="portrait"/>
          <w:cols w:equalWidth="0" w:num="2">
            <w:col w:w="460" w:space="680"/>
            <w:col w:w="10160"/>
          </w:cols>
          <w:pgMar w:left="320" w:top="221" w:right="27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45" w:lineRule="exact"/>
        <w:rPr>
          <w:sz w:val="24"/>
          <w:szCs w:val="24"/>
          <w:color w:val="auto"/>
        </w:rPr>
      </w:pPr>
    </w:p>
    <w:tbl>
      <w:tblPr>
        <w:tblLayout w:type="fixed"/>
        <w:tblInd w:w="70" w:type="dxa"/>
        <w:tblCellMar>
          <w:top w:w="0" w:type="dxa"/>
          <w:left w:w="0" w:type="dxa"/>
          <w:bottom w:w="0" w:type="dxa"/>
          <w:right w:w="0" w:type="dxa"/>
        </w:tblCellMar>
      </w:tblPr>
      <w:tr>
        <w:trPr>
          <w:trHeight w:val="243"/>
        </w:trPr>
        <w:tc>
          <w:tcPr>
            <w:tcW w:w="4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Title of each class</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Name of each exchange on which registered</w:t>
            </w:r>
          </w:p>
        </w:tc>
      </w:tr>
      <w:tr>
        <w:trPr>
          <w:trHeight w:val="223"/>
        </w:trPr>
        <w:tc>
          <w:tcPr>
            <w:tcW w:w="43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Common Stock, $0.01 par value per share</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KINS</w:t>
            </w:r>
          </w:p>
        </w:tc>
        <w:tc>
          <w:tcPr>
            <w:tcW w:w="46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Nasdaq Capital Market</w:t>
            </w:r>
          </w:p>
        </w:tc>
      </w:tr>
    </w:tbl>
    <w:p>
      <w:pPr>
        <w:spacing w:after="0" w:line="220" w:lineRule="exact"/>
        <w:rPr>
          <w:sz w:val="24"/>
          <w:szCs w:val="24"/>
          <w:color w:val="auto"/>
        </w:rPr>
      </w:pPr>
    </w:p>
    <w:p>
      <w:pPr>
        <w:ind w:right="920"/>
        <w:spacing w:after="0" w:line="250"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900"/>
        <w:spacing w:after="0"/>
        <w:rPr>
          <w:sz w:val="20"/>
          <w:szCs w:val="20"/>
          <w:color w:val="auto"/>
        </w:rPr>
      </w:pPr>
      <w:r>
        <w:rPr>
          <w:rFonts w:ascii="Times New Roman" w:cs="Times New Roman" w:eastAsia="Times New Roman" w:hAnsi="Times New Roman"/>
          <w:sz w:val="20"/>
          <w:szCs w:val="20"/>
          <w:color w:val="auto"/>
        </w:rPr>
        <w:t>Emerging growth company □</w:t>
      </w:r>
    </w:p>
    <w:p>
      <w:pPr>
        <w:spacing w:after="0" w:line="221" w:lineRule="exact"/>
        <w:rPr>
          <w:sz w:val="24"/>
          <w:szCs w:val="24"/>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822960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221" w:right="279" w:bottom="1440" w:gutter="0" w:footer="0" w:header="0"/>
          <w:type w:val="continuous"/>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Item 7.01</w:t>
      </w:r>
      <w:r>
        <w:rPr>
          <w:sz w:val="20"/>
          <w:szCs w:val="20"/>
          <w:color w:val="auto"/>
        </w:rPr>
        <w:tab/>
      </w:r>
      <w:r>
        <w:rPr>
          <w:rFonts w:ascii="Times New Roman" w:cs="Times New Roman" w:eastAsia="Times New Roman" w:hAnsi="Times New Roman"/>
          <w:sz w:val="21"/>
          <w:szCs w:val="21"/>
          <w:b w:val="1"/>
          <w:bCs w:val="1"/>
          <w:color w:val="auto"/>
        </w:rPr>
        <w:t>Regulation FD Disclosure</w:t>
      </w:r>
      <w:r>
        <w:rPr>
          <w:rFonts w:ascii="Times New Roman" w:cs="Times New Roman" w:eastAsia="Times New Roman" w:hAnsi="Times New Roman"/>
          <w:sz w:val="21"/>
          <w:szCs w:val="21"/>
          <w:color w:val="auto"/>
        </w:rPr>
        <w:t>.</w:t>
      </w:r>
    </w:p>
    <w:p>
      <w:pPr>
        <w:spacing w:after="0" w:line="26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1"/>
          <w:szCs w:val="21"/>
          <w:color w:val="auto"/>
        </w:rPr>
        <w:t>On April 27, 2026, Kingstone Companies, Inc. (the “Company”) issued a press release (the “Press Release”) announcing that the Company’s Board of Directors has declared a quarterly cash dividend of $0.05 per share payable on May 26, 2026 to stockholders of record at the close of business on May 11, 2026. A copy of the Press Release is furnished as Exhibit 99.1 hereto.</w:t>
      </w:r>
    </w:p>
    <w:p>
      <w:pPr>
        <w:spacing w:after="0" w:line="21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information in the Press Release is being furnished, not filed, pursuant to this Item 7.01. Accordingly, the information in the Press Release will not be subject to the liabilities of Section 18 of the Securities Exchange Act of 1934, as amended (the “Exchange Act”), nor will it be deemed incorporated by reference into any registration statement filed by the Company under the Securities Act of 1933, as amended, or any filing under the Exchange Act, unless specifically identified therein as being incorporated therein by reference. The furnishing of the information in this Current Report on Form 8-K with respect to the Press Release is not intended to, and does not, constitute a determination or admission by the Company that the information in this Report with respect to the Press Release is material or complete, or that investors should consider this information before making an investment decision with respect to any security of the Company.</w:t>
      </w:r>
    </w:p>
    <w:p>
      <w:pPr>
        <w:spacing w:after="0" w:line="22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37" w:lineRule="exact"/>
        <w:rPr>
          <w:sz w:val="20"/>
          <w:szCs w:val="20"/>
          <w:color w:val="auto"/>
        </w:rPr>
      </w:pPr>
    </w:p>
    <w:p>
      <w:pPr>
        <w:ind w:left="1060" w:hanging="1054"/>
        <w:spacing w:after="0"/>
        <w:tabs>
          <w:tab w:leader="none" w:pos="10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w:t>
      </w:r>
    </w:p>
    <w:p>
      <w:pPr>
        <w:spacing w:after="0" w:line="273" w:lineRule="exact"/>
        <w:rPr>
          <w:rFonts w:ascii="Times New Roman" w:cs="Times New Roman" w:eastAsia="Times New Roman" w:hAnsi="Times New Roman"/>
          <w:sz w:val="22"/>
          <w:szCs w:val="22"/>
          <w:color w:val="auto"/>
        </w:rPr>
      </w:pPr>
    </w:p>
    <w:p>
      <w:pPr>
        <w:ind w:left="10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99.1</w:t>
      </w:r>
      <w:r>
        <w:rPr>
          <w:rFonts w:ascii="Times New Roman" w:cs="Times New Roman" w:eastAsia="Times New Roman" w:hAnsi="Times New Roman"/>
          <w:sz w:val="21"/>
          <w:szCs w:val="21"/>
          <w:color w:val="auto"/>
        </w:rPr>
        <w:t>Press release, dated April 27, 2026, issued by Kingstone Companies, Inc.</w:t>
      </w:r>
    </w:p>
    <w:p>
      <w:pPr>
        <w:spacing w:after="0" w:line="192" w:lineRule="exact"/>
        <w:rPr>
          <w:rFonts w:ascii="Times New Roman" w:cs="Times New Roman" w:eastAsia="Times New Roman" w:hAnsi="Times New Roman"/>
          <w:sz w:val="22"/>
          <w:szCs w:val="22"/>
          <w:color w:val="auto"/>
        </w:rPr>
      </w:pPr>
    </w:p>
    <w:p>
      <w:pPr>
        <w:ind w:left="10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104</w:t>
      </w:r>
      <w:r>
        <w:rPr>
          <w:rFonts w:ascii="Times New Roman" w:cs="Times New Roman" w:eastAsia="Times New Roman" w:hAnsi="Times New Roman"/>
          <w:sz w:val="21"/>
          <w:szCs w:val="21"/>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829945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9" w:lineRule="exact"/>
        <w:rPr>
          <w:sz w:val="20"/>
          <w:szCs w:val="20"/>
          <w:color w:val="auto"/>
        </w:rPr>
      </w:pPr>
    </w:p>
    <w:p>
      <w:pPr>
        <w:ind w:firstLine="1041"/>
        <w:spacing w:after="0" w:line="26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1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b w:val="1"/>
          <w:bCs w:val="1"/>
          <w:color w:val="auto"/>
        </w:rPr>
        <w:t>KINGSTONE COMPANIES, INC.</w:t>
      </w:r>
    </w:p>
    <w:p>
      <w:pPr>
        <w:spacing w:after="0" w:line="237" w:lineRule="exact"/>
        <w:rPr>
          <w:sz w:val="20"/>
          <w:szCs w:val="20"/>
          <w:color w:val="auto"/>
        </w:rPr>
      </w:pPr>
    </w:p>
    <w:p>
      <w:pPr>
        <w:ind w:left="100"/>
        <w:spacing w:after="0"/>
        <w:tabs>
          <w:tab w:leader="none" w:pos="5480" w:val="left"/>
          <w:tab w:leader="none" w:pos="6340" w:val="left"/>
        </w:tabs>
        <w:rPr>
          <w:sz w:val="20"/>
          <w:szCs w:val="20"/>
          <w:color w:val="auto"/>
        </w:rPr>
      </w:pPr>
      <w:r>
        <w:rPr>
          <w:rFonts w:ascii="Times New Roman" w:cs="Times New Roman" w:eastAsia="Times New Roman" w:hAnsi="Times New Roman"/>
          <w:sz w:val="22"/>
          <w:szCs w:val="22"/>
          <w:color w:val="auto"/>
        </w:rPr>
        <w:t>Dated: April 27, 2026</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Randy Patten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10795</wp:posOffset>
            </wp:positionV>
            <wp:extent cx="31629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ind w:left="6260"/>
        <w:spacing w:after="0"/>
        <w:rPr>
          <w:sz w:val="20"/>
          <w:szCs w:val="20"/>
          <w:color w:val="auto"/>
        </w:rPr>
      </w:pPr>
      <w:r>
        <w:rPr>
          <w:rFonts w:ascii="Times New Roman" w:cs="Times New Roman" w:eastAsia="Times New Roman" w:hAnsi="Times New Roman"/>
          <w:sz w:val="22"/>
          <w:szCs w:val="22"/>
          <w:color w:val="auto"/>
        </w:rPr>
        <w:t>Randy Patten</w:t>
      </w:r>
    </w:p>
    <w:p>
      <w:pPr>
        <w:ind w:left="6260"/>
        <w:spacing w:after="0"/>
        <w:rPr>
          <w:sz w:val="20"/>
          <w:szCs w:val="20"/>
          <w:color w:val="auto"/>
        </w:rPr>
      </w:pPr>
      <w:r>
        <w:rPr>
          <w:rFonts w:ascii="Times New Roman" w:cs="Times New Roman" w:eastAsia="Times New Roman" w:hAnsi="Times New Roman"/>
          <w:sz w:val="22"/>
          <w:szCs w:val="22"/>
          <w:color w:val="auto"/>
        </w:rPr>
        <w:t>Chief Financial Officer</w:t>
      </w:r>
    </w:p>
    <w:p>
      <w:pPr>
        <w:sectPr>
          <w:pgSz w:w="11900" w:h="16838" w:orient="portrait"/>
          <w:cols w:equalWidth="0" w:num="1">
            <w:col w:w="11220"/>
          </w:cols>
          <w:pgMar w:left="320" w:top="108" w:right="359"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17295" cy="248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17295" cy="248920"/>
                    </a:xfrm>
                    <a:prstGeom prst="rect">
                      <a:avLst/>
                    </a:prstGeom>
                    <a:noFill/>
                  </pic:spPr>
                </pic:pic>
              </a:graphicData>
            </a:graphic>
          </wp:anchor>
        </w:drawing>
        <w:t>Kingstone Declares Quarterly Dividend</w:t>
      </w:r>
    </w:p>
    <w:p>
      <w:pPr>
        <w:spacing w:after="0" w:line="200" w:lineRule="exact"/>
        <w:rPr>
          <w:sz w:val="20"/>
          <w:szCs w:val="20"/>
          <w:color w:val="auto"/>
        </w:rPr>
      </w:pPr>
    </w:p>
    <w:p>
      <w:pPr>
        <w:spacing w:after="0" w:line="26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22"/>
          <w:szCs w:val="22"/>
          <w:b w:val="1"/>
          <w:bCs w:val="1"/>
          <w:color w:val="auto"/>
        </w:rPr>
        <w:t xml:space="preserve">KINGSTON, N.Y., April 27, 2026 </w:t>
      </w:r>
      <w:r>
        <w:rPr>
          <w:rFonts w:ascii="Times New Roman" w:cs="Times New Roman" w:eastAsia="Times New Roman" w:hAnsi="Times New Roman"/>
          <w:sz w:val="22"/>
          <w:szCs w:val="22"/>
          <w:color w:val="auto"/>
        </w:rPr>
        <w:t>– Kingstone Companies, Inc. (Nasdaq: KINS) (“Kingstone” or the “Company”), a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casualty insurance holding company, today announced that its Board of Directors has declared a quarterly cash dividend of $0.05 per share of common stock.</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will pay the dividend on May 26, 2026, to stockholders of record at the close of business on May 11, 2026.</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Kingstone Companies, Inc.</w:t>
      </w:r>
    </w:p>
    <w:p>
      <w:pPr>
        <w:spacing w:after="0" w:line="4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Kingstone is a regional property and casualty insurance holding company whose principal operating subsidiary is Kingstone Insurance Company ("KICO"). KICO is a New York domiciled carrier writing business through retail and wholesale agents and brokers. Kingstone delivers tailored homeowners insurance solutions through its sophisticated product suite, Select, supported by a scalable and efficient operating platform that enables the Company to pursue significant market opportunities and strategic expansion. KICO was the 11th largest writer of homeowners insurance in New York in 2025 and is also licensed in New Jersey, Rhode Island, Massachusetts, Connecticut, Pennsylvania, New Hampshire, and Maine.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Elevate IR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KINS@elevate-ir.com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720-330-2829</w:t>
      </w:r>
    </w:p>
    <w:p>
      <w:pPr>
        <w:sectPr>
          <w:pgSz w:w="11900" w:h="16838" w:orient="portrait"/>
          <w:cols w:equalWidth="0" w:num="1">
            <w:col w:w="11240"/>
          </w:cols>
          <w:pgMar w:left="320" w:top="1367"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2026-04-27T17:06:08Z</dcterms:created>
  <dcterms:modified xsi:type="dcterms:W3CDTF">2026-04-27T17:06:08Z</dcterms:modified>
</cp:coreProperties>
</file>